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Sequence of Activities</w:t>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Icebreaker Activity: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coursework was conducted in Spanish. To prepare for oral discussion, UF students discussed possible cultural misunderstandings during the regular class period before the engagement with students in Mexico. After that discussion, UF students recorded 90-second videos on Flip that introduced themselves individually to students in Mexico.</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Engagement Activity: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 classroom on the UF campus, UF students asked and answered questions about the shared readings with students in the Universidad Veracruzana classroom in real time.</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Collaboration Activity: </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exchanged questions and answers about the readings.</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Reflection Activity: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Students wrote in-class assessments of the readings and the exchange; students also wrote a research essay following the exchange on one reading and wrote an essay on the exam. The research paper and the exam essay reflected each student's choice of topic and approach</w:t>
      </w:r>
      <w:r w:rsidDel="00000000" w:rsidR="00000000" w:rsidRPr="00000000">
        <w:rPr>
          <w:rFonts w:ascii="Times New Roman" w:cs="Times New Roman" w:eastAsia="Times New Roman" w:hAnsi="Times New Roman"/>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